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66 vom 1. April 2014</w:t>
      </w:r>
    </w:p>
    <w:p>
      <w:r>
        <w:t>GR Gerichte, 2014-04-01, DE</w:t>
      </w:r>
    </w:p>
    <w:p>
      <w:r>
        <w:rPr>
          <w:b/>
        </w:rPr>
        <w:t xml:space="preserve">Quelle: </w:t>
      </w:r>
      <w:r>
        <w:t>https://mcp.opencaselaw.ch/entscheid/gr_gerichte_S 2013 66</w:t>
      </w:r>
    </w:p>
    <w:p>
      <w:r>
        <w:t>FR: GR_GERICHTE S 2013 66 du 1 avril 2014</w:t>
      </w:r>
    </w:p>
    <w:p>
      <w:r>
        <w:t>IT: GR_GERICHTE S 2013 66 del 1 aprile 2014</w:t>
      </w:r>
    </w:p>
    <w:p>
      <w:pPr>
        <w:pStyle w:val="Heading2"/>
      </w:pPr>
      <w:r>
        <w:t>Regeste</w:t>
      </w:r>
    </w:p>
    <w:p>
      <w:r>
        <w:t>Versicherungsleistungen nach UVG | Unfallversicherung</w:t>
      </w:r>
    </w:p>
    <w:p>
      <w:pPr>
        <w:pStyle w:val="Heading2"/>
      </w:pPr>
      <w:r>
        <w:t>Erwägungen</w:t>
      </w:r>
    </w:p>
    <w:p>
      <w:r>
        <w:rPr>
          <w:b/>
        </w:rPr>
        <w:t>E. 2</w:t>
      </w:r>
    </w:p>
    <w:p>
      <w:r>
        <w:t>Am 24. September 2011 zog sich A._____ bei einem Sturz von einer Mauer ein Schädelhirntrauma zu.</w:t>
      </w:r>
    </w:p>
    <w:p>
      <w:r>
        <w:rPr>
          <w:b/>
        </w:rPr>
        <w:t>E. 3</w:t>
      </w:r>
    </w:p>
    <w:p>
      <w:r>
        <w:t>Mit Verfügung vom 20. August 2012 stellte die C._____ fest, dass für den Unfall vom 24. September 2011 keine Deckung für Nichtberufsunfälle (nachfolgend NBU) bei der B._____ AG bestehe. Vor dem Hintergrund der widersprüchlichen Angaben von A._____ betreffend die effektive Ar- beitszeit bei der B._____ AG sei auf die spontane Aussage der ersten Stunde vom 21. Oktober 2011 abzustellen, wohingegen es hinsichtlich der späteren Angaben von A._____ einer Beweisgrundlage fehle. Die da- gegen von A._____ sowie von der B._____ AG jeweils am 20. September 2012 erhobenen Einsprachen wurden mit Einspracheentscheid vom 13. Mai 2013 abgewiesen.</w:t>
      </w:r>
    </w:p>
    <w:p>
      <w:r>
        <w:rPr>
          <w:b/>
        </w:rPr>
        <w:t>E. 4</w:t>
      </w:r>
    </w:p>
    <w:p>
      <w:r>
        <w:t>Dagegen erhoben A._____ (nachfolgend Beschwerdeführer) und die B._____ AG (nachfolgend Beschwerdeführerin) am 13. Juni 2013 Be- schwerde an das Verwaltungsgericht des Kantons Graubünden mit den Anträgen auf Aufhebung des angefochtenen Einspracheentscheids und Bestätigung der NBU-Deckung bei der Beschwerdeführerin beziehungs- weise der C._____ für den Unfall vom 24. September 2011. Dabei mach- ten die Beschwerdeführer im Wesentlichen geltend, der Beschwerdefüh- rer sei für die Beschwerdeführerin in einem 20%-Pensum tätig, woraus eine Arbeitszeit von mindestens acht Stunden pro Woche resultiere. Folg-</w:t>
      </w:r>
    </w:p>
    <w:p>
      <w:r>
        <w:t>- 3 - lich sei der Beschwerdeführer für sein Nebenpensum bei der C._____ für NBU versichert. Selbst wenn vorliegend aber das Mindestpensum von acht Wochenstunden nicht erreicht würde, seien gemäss Art. 23. Abs. 5 UVV sowie der bundesgerichtlichen Rechtsprechung und der Praxis der SUVA auch diejenigen Arbeitsverhältnisse zum Gesamtlohn zu zählen, bei denen das Mindestpensum von acht Stunden pro Woche nicht erreicht werde. Auch die E._____ habe mit E-Mail vom 15. November 2012 die Versicherungsdeckung nach abschliessender Prüfung ausdrücklich auch in Bezug auf den Nebenverdienst bei der Beschwerdeführerin bestätigt.</w:t>
      </w:r>
    </w:p>
    <w:p>
      <w:r>
        <w:rPr>
          <w:b/>
        </w:rPr>
        <w:t>E. 5</w:t>
      </w:r>
    </w:p>
    <w:p>
      <w:r>
        <w:t>Die C._____ (nachfolgend Beschwerdegegnerin) beantragte in ihrer Be- schwerdeantwort vom 16. September 2013 die Abweisung der Beschwer- de. Vorliegend sei weder die für eine NBU-Deckung erforderliche wöchentliche Arbeitszeit von acht Stunden belegt, noch könnten die Be- schwerdeführer aus der jüngeren Rechtsprechung des Bundesgerichts oder der Praxis der SUVA etwas für sich ableiten. Schliesslich lasse sich eine NBU-Deckung seitens der Beschwerdegegnerin auch nicht gestützt auf die Mitteilung der E._____ vom 15. November 2011 formell konstruie- ren.</w:t>
      </w:r>
    </w:p>
    <w:p>
      <w:r>
        <w:rPr>
          <w:b/>
        </w:rPr>
        <w:t>E. 6</w:t>
      </w:r>
    </w:p>
    <w:p>
      <w:r>
        <w:t>a) Des Weiteren machen die Beschwerdeführer unter Hinweis auf das Urteil des Bundesgerichtes 8C_297/2012 vom 4. März 2013 (= BGE 139 V 148) geltend, die Beschwerdegegnerin müsste ihre Leistungspflicht gestützt auf Art. 7 Abs. 2 UVG i.V.m. Art. 23 Abs. 5 UVV auch dann anerkennen, wenn das Mindestpensum von acht Wochenstunden nicht erreicht würde. Die Erwägungen des Bundesgerichtes im zitierten Entscheid würden dar- auf hinweisen, dass auch für übrige NBU eine Auslegung von Art. 23 Abs. 5 UVV dahingehend in Betracht fallen könnte, dass auch bei ge- wöhnlichen NBU der gesamte Lohn sämtlicher Arbeitgeber für die Be- rechnung massgebend sein könnte, sofern zumindest bei einem Arbeit- geber die NBU-Deckung vorläge. Dieser Auffassung kann − wie nachfol- gend erläutert − nicht gefolgt werden.</w:t>
      </w:r>
    </w:p>
    <w:p>
      <w:r>
        <w:t>- 20 - b) Wie bereits vorstehend dargestellt (vgl. E.3b) hat der Gesetzgeber in Art. 15 Abs. 3 UVG den Bundesrat beauftragt, Bestimmungen über den versicherten Verdienst in Sonderfällen zu erlassen. Dieser hat in Ausü- bung der ihm eingeräumten Gesetzgebungskompetenz unter anderem in Art. 23 Abs. 5 UVV statuiert, dass bei einer versicherten Person, welche vor dem Unfall bei mehr als einem Arbeitgeber tätig war, der Gesamtlohn massgebend sei. Darüber, wie dieser Gesamtlohn zu bemessen ist, wenn Taggeldleistungen aufgrund eines NBU zur Diskussion stehen und ein- zelne Tätigkeiten aufgrund zu geringer Arbeitsleistungen für dieses Risiko nicht versichert waren, kann weder dem Gesetz noch der Verordnung ei- ne eindeutige Antwort entnommen werden. Diese ist deshalb durch Aus- legung zu ermitteln, wobei die teleologische Auslegung im Vordergrund steht, wonach auf Sinn und Zweck einer Norm sowie die Wertungen, die einer Gesetzesbestimmung zu Grunde liegen, abzustellen ist (HÄFE- LIN/MÜLLER/UHLMANN, Allgemeines Verwaltungsrecht, 6. Aufl., Zürich/St. Gallen 2010, N. 218). Bei der Auslegung des in Art. 23 Abs. 5 UVV verwendeten Begriffs des Gesamtlohns steht im Vordergrund, dass sowohl die von einem Versi- cherten beanspruchten Taggeldleistungen, als auch die von ihm bezie- hungsweise seinem Arbeitgeber zu entrichtenden Prämien nach dem kla- ren Willen des Gesetzgebers nach Massgabe des versicherten Verdiens- tes zu bemessen sind (vgl. Art. 15 Abs. 1 sowie Art. 92 Abs. 1 und 6 UVG). Als versicherter Verdienst gilt dabei der im Rahmen einer un- selbständigen Erwerbstätigkeit erzielte Lohn (Art. 22 Abs. 2 UVV i.V.m. Art. 5 Abs. 2 des Bundesgesetzes über die Alters- und Hinterlassenen- versicherung [AHVG; SR 831.10]). Entspricht der Taggeldanspruch 80 % des versicherten Verdienstes, werden die Versicherungsprämien in Pro- millen des versicherten Verdienstes festgesetzt. Dabei werden die eigent- lichen Prämiensätze risikogerecht abgestuft, indem aus mehreren Risi-</w:t>
      </w:r>
    </w:p>
    <w:p>
      <w:r>
        <w:t>- 21 - koeinheiten, die sich hinsichtlich ihrer Verhältnisse vergleichen lassen, Risikogemeinschaften gebildet werden. Jede dieser Risikogemeinschaf- ten hat für die Kosten der auf sie entfallenden Unfallkosten ausschliess- lich durch eigene Beiträge aufzukommen und muss somit selbst tragend sein (vgl. Art. 92 UVG; BGE 112 V 316 E.3). Die Absicht des Gesetzge- bers war und ist es somit, dass die Prämien, mit welchen das Risiko eines unfallbedingten Erwerbsausfalls versichert wird, nach demjenigen Ein- kommen bemessen wird, welches dem Versicherten bei Verwirklichung des Unfallrisikos ersetzt wird. Dies hat im Gegenzug zur Folge, dass ein Verdienst, dessen Ausfall aufgrund eines Unfallereignisses nicht versi- chert ist, bei der Bemessung der Leistungen ausser Acht bleiben muss (so auch das Eidgenössische Versicherungsgericht im Urteil U 266/06 vom 28. Dezember 2006 E.3.4). Im Resultat sind letztendlich alle Unfall- versicherer zur Beachtung des in Art. 61 Abs. 2 UVG in erster Linie für die SUVA statuierten Grundsatzes der Gegenseitigkeit verpflichtet, wonach zwischen den Beiträgen einerseits und den Versicherungsleistungen an- derseits ein Gleichgewicht bestehen muss (vgl. BGE 126 V 26 E.3c; Urteil des Kantonsgerichtes Basel-Landschaft 725 06 94 vom 1. März 2007 E.3; so auch bereits MAURER, Schweizerisches Unfallversicherungsrecht, Bern 1985, S. 328 Fn. 811). Da die Beschwerdeführer nicht mit dem Beweisgrad der überwiegenden Wahrscheinlichkeit nachweisen konnten, dass der Beschwerdeführer mindestens acht Stunden pro Woche für die Beschwerdeführerin gearbei- tet hat, ist vorliegend davon auszugehen, dass der Beschwerdeführer vor dem Unfallereignis vom 24. September 2011 nur im Rahmen seiner bei der D._____ ausgeübten Erwerbstätigkeit gegen NBU versichert war. Mit den dabei entrichteten NBU-Prämien wurde somit einzig das Risiko abge- sichert, aufgrund eines NBU einen Ausfall seines bei der D._____ erziel- ten Verdienstes zu erleiden. In Anbetracht der vorstehenden Erläuterun-</w:t>
      </w:r>
    </w:p>
    <w:p>
      <w:r>
        <w:t>- 22 - gen kann deshalb nicht beanstandet werden, dass der bei der Beschwer- deführerin erzielte, aber nicht versicherte, Verdienst nicht in die Bemes- sung der Taggeldleistungen einbezogen wurde. c) An diesem Ergebnis vermag auch das von den Beschwerdeführern er- wähnte Urteil des Bundesgerichtes 8C_297/2012 vom 4. März 2013 (= BGE 139 V 148) nichts zu ändern. In der erwähnten Angelegenheit hat- te sich das Bundesgericht zur Frage zu äussern, auf welcher Lohnbasis das Taggeld bei einem Arbeitswegunfall berechnet wird, wenn die versi- cherte Person bei einem Arbeitgeber NBU-versichert und daneben bei ei- nem weiteren Arbeitgeber für weniger als acht Wochenstunden beschäf- tigt war. Dabei kam das Bundesgericht zum Schluss, dass bei Mehrfach- beschäftigten für die Berechnung des Taggeldes der Gesamtlohn aus al- len Erwerbstätigkeiten massgebend sei, sofern die versicherte Person ei- nen Unfall auf dem Arbeitsweg zu oder von einem ihrer Arbeitsorte erlei- det, unabhängig davon, ob dieses Ereignis als Berufs- oder Nichtberufs- unfall zu qualifizieren sei (E.7). Die Beschwerdegegnerin macht indes zu Recht darauf aufmerksam, dass sich das Bundesgericht im erwähnten Entscheid ausschliesslich zur Berechnung des versicherten Verdienstes im Falle eines Arbeitswegunfalls zu äussern hatte. Das Bundesgericht wies in diesem Zusammenhang denn auch explizit darauf hin, dass der Wille des Gesetzgebers, das Äquivalenzprinzip zu durchbrechen, in Art. 7 Abs. 2 UVG seinen Niederschlag gefunden habe (BGE 139 V 148 E.7.2.3), wonach für Teilzeitbeschäftigte, deren Arbeitsdauer das vom Bundesrat festzusetzende Mindestmass nicht erreicht, auch Unfälle auf dem Arbeitsweg als Berufsunfälle gelten. Folglich beschränkt sich Art. 7 Abs. 2 UVG aber nach seinem Wortlaut ausdrücklich auf Unfälle auf dem Arbeitsweg. Andere NBU-Unfälle sind vom Wortlaut dieser Bestimmung nicht erfasst. Weiter hat sich den Ausführungen des Bundesgerichtes im erwähnten Entscheid zufolge auch die Auslegung von Art. 23 Abs. 5 UVV</w:t>
      </w:r>
    </w:p>
    <w:p>
      <w:r>
        <w:t>- 23 - an der ratio legis von Art. 7 Abs. 2 UVG zu orientieren, welche in der möglichst vollständigen Versicherungsdeckung der Folgen von Arbeits- wegunfällen auch bei Teilzeitbeschäftigten bestehe. Dabei sei der Aus- nahmecharakter der Qualifizierung der Arbeitswegunfälle als Berufsunfäl- le gemäss Art. 7 Abs. 2 UVG zu berücksichtigen und auch dem Beweg- grund der umfassenden Versicherungsdeckung sei Rechnung zu tragen, welcher hinter dieser Einordnung stehe (BGE 139 V 148 E.7.3.1). Vor dem Hintergrund der zitierten bundesgerichtlichen Erwägungen ist mit der Beschwerdegegnerin davon auszugehen, dass eine Ausweitung der Ar- beitswegunfälle generell auf NBU sowohl gestützt auf den klaren Wortlaut als auch auf die ratio legis von Art. 7 Abs. 2 UVG ausgeschlossen ist. Da sich das Bundesgericht im zitierten Urteil nur zu Arbeitswegunfällen äus- serte, und ein solcher vorliegend unstreitig nicht vorliegt, können die Be- schwerdeführer somit auch aus dem mehrfach erwähnten Entscheid des Bundesgerichtes nicht zu ihren Gunsten ableiten. d) Ebenfalls nichts an diesem Ergebnis zu ändern vermag der beschwerde- führerische Hinweis auf die Verwaltungspraxis der SUVA, welche als grösster Unfallversicherer für die Taggeldbemessung bei allen NBU je- weils die Gesamtlohnsumme sämtlicher Arbeitgeber, auch derjenigen oh- ne NBU-Versicherung, berücksichtige. Denn der Verwaltungspraxis der SUVA kommt − wie die Beschwerdegegnerin zu Recht ausführt − auch unter dem Gesichtspunkt einer „einheitlichen Sozialversicherungsdurch- führung sämtlicher Versicherer“ für die übrigen Versicherer keinerlei rechtliche Verbindlichkeit zu. Im Übrigen wären aber die von den Be- schwerdeführern erwähnten E-Mails der SUVA vom 13./14. September 2012 sowie vom 11. Juni 2013 (vgl. Bf-act. 9) ohnehin zu unpräzise, als die Beschwerdeführer daraus etwas für sich ableiten könnten.</w:t>
      </w:r>
    </w:p>
    <w:p>
      <w:r>
        <w:t>- 24 -</w:t>
      </w:r>
    </w:p>
    <w:p>
      <w:r>
        <w:rPr>
          <w:b/>
        </w:rPr>
        <w:t>E. 7</w:t>
      </w:r>
    </w:p>
    <w:p>
      <w:r>
        <w:t>a) Schliesslich machen die Beschwerdeführer noch geltend, die E._____ habe mit E-Mail vom 15. November 2012 die Versicherungsdeckung nach abschliessender Prüfung ausdrücklich auch in Bezug auf den Nebenver- dienst bei der Beschwerdeführerin bestätigt. Ein späterer Widerruf dieser Deckungszusage wäre höchstens unter den Voraussetzungen einer Wie- dererwägung nach Art. 53 Abs. 2 ATSG bei offensichtlicher Unrichtigkeit der Angaben möglich gewesen. Von einer solchen könne aber lediglich aufgrund des fraglichen Formulars vom 21. Oktober 2011 im Kontext mit den übrigen Angaben und Belegen nicht ausgegangen werden. Folglich sei die Deckungszusage der E._____ für die Beschwerdegegnerin ver- bindlich. Diesen Ausführungen hält die Beschwerdegegnerin entgegen, die E._____ könne nicht hoheitlich über die Leistungspflicht eines anderen Versicherungsträgers entscheiden. Selbst wenn die Mitteilung vom 15. November 2011 als Verfügung zu qualifizieren wäre, sei die E._____ durch ihr Schreiben vom 22. November 2011 noch innerhalb der Einspra- chefrist von 30 Tagen darauf zurückgekommen. Folglich sei der Widerruf zulässig und die allfällige Verfügung vom 15. November 2011 für die Be- schwerdegegnerin als unverbindlich zu betrachten. b) Gemäss Art. 53 Abs. 3 ATSG kann der Versicherungsträger eine Verfü- gung oder einen Einspracheentscheid, gegen den Beschwerde erhoben wurde, so lange wiedererwägen, bis er gegenüber der Beschwerdebehör- de Stellung nimmt. Insbesondere steht es dem Versicherungsträger frei, während des laufenden Beschwerdeverfahrens ohne Beachtung der be- sonderen Wiedererwägungsvoraussetzungen (insbesondere ohne An- nahme einer zweifellosen Unrichtigkeit, vgl. Art. 53 Abs. 2 ATSG) auf den Entscheid zurückzukommen (KIESER, a.a.O., Art. 53 Rz. 47). Zudem darf der Versicherungsträger gemäss bundesgerichtlicher Rechtsprechung auf</w:t>
      </w:r>
    </w:p>
    <w:p>
      <w:r>
        <w:t>- 25 - unangefochtene formelle Verfügungen während der Rechtsmittelfrist zurückkommen, ohne dass die nach Eintritt der Rechtskraft erforderlichen Voraussetzungen der Wiedererwägung oder der prozessualen Revision erfüllt sein müssen. Bei faktischen Verfügungen ist der Behörde für ein voraussetzungsloses Zurückkommen kein längerer Zeitraum zuzubilligen (BGE 129 V 110 E.1.2.1, 124 V 246 E.2 jeweils mit weiteren Hinweisen). c) Aus den bei den Akten liegenden Unterlagen ergibt sich folgende Korre- spondenz zwischen der E._____ und den Beschwerdeführern: • Am 14. November 2011 teilte die E._____ der Beschwerdeführerin tele- fonisch mit, dass die zugestellten Stundenangaben eine NBU-Deckung bei der Beschwerdeführerin bestätigen. Zur Abschliessenden Beurtei- lung benötigten sie indes noch weitere Unterlagen (vgl. Bg-act. 22). • Mit E-Mail vom 15. November 2011 bestätigte die E._____ gegenüber der Beschwerdeführerin nach abschliessender Prüfung, dass der Ne- benverdienst des Beschwerdeführers ebenfalls über die E._____ ge- deckt sei (vgl. Bg-act. 23). • Am 16. November 2011 teilte die E._____ der Beschwerdeführerin so- dann mit, dass gemäss den Angaben des Fragebogens vom 21. Okto- ber 2011 (Arbeitspensum circa 10 % beziehungsweise fünf bis sechs Stunden pro Woche) keine NBU-Deckung bestehe (vgl. Bg-act. 25). • Im Schreiben des Beschwerdeführers vom 19. November 2011 an die E._____ führte dieser aus, er habe der Frage bezüglich wöchentlich ge- leisteter Stunden zu wenig Beachtung geschenkt. Die effektiven Stun- den habe er seinem Vater am 12. November 2011 mitgeteilt. Sie ent-</w:t>
      </w:r>
    </w:p>
    <w:p>
      <w:r>
        <w:t>- 26 - sprächen den im E-Mail [vom 14. November 2011] aufgeführten Werten (vgl. Bg-act. 20). • Am 22. November 2011 teilte die E._____ der Beschwerdeführerin schliesslich mit, dass sie aufgrund der vorliegenden Aktenlage die Bestätigung vom 15. November 2011 bezüglich NBU-Deckung bei der Beschwerdeführerin zurückziehe (vgl. Bg-act. 27). d) Wie bereits die Beschwerdegegnerin zu Recht ausgeführt hat, ist vorweg festzuhalten, dass die E._____ nicht hoheitlich über die Leistungspflicht eines anderen Versicherungsträgers entscheiden kann. Aus der vorlie- gend zur Diskussion stehenden E-Mail der E._____ vom 15. November 2011 geht solches denn auch nicht hervor. Vielmehr bestätigte die E._____ darin nach abschliessender Prüfung lediglich, „dass der Neben- verdienst [des Beschwerdeführers] ebenfalls über die E._____ gedeckt ist“. Jedenfalls kommt der Mitteilung der E._____ für die Beschwerdegeg- nerin keinerlei rechtliche Verbindlichkeit zu. Bereits vor diesem Hinter- grund können die Beschwerdeführer aus der Mitteilung der E._____ vom 15. November 2012 nichts zu ihren Gunsten ableiten. Im Übrigen ist es vorliegend auch fraglich, ob der Mitteilung der E._____ vom 15. November 2011 überhaupt Verfügungscharakter zukommt. Diese Frage braucht indes nicht abschliessend beantwortet zu werden. Denn selbst wenn man der fraglichen Mitteilung Verfügungscharakter zuspre- chen würde, wäre ein Zurückkommen während der Rechtsmittelfrist − wie gesehen − möglich, ohne dass die nach Eintritt der Rechtskraft erforderli- chen Voraussetzungen der Wiedererwägung oder der prozessualen Revi- sion erfüllt sein müssen. Vorliegend ist die E._____ durch die E-Mail vom 22. November 2011 noch innerhalb der 30-tägigen Einsprachefrist von Art. 52 Abs. 1 ATSG auf die Mitteilung vom 15. November 2011 zurück-</w:t>
      </w:r>
    </w:p>
    <w:p>
      <w:r>
        <w:t>- 27 - gekommen. Nachdem damit keine Bindung an die Voraussetzungen der Wiedererwägung oder der prozessualen Revision besteht, kann vorlie- gend offen bleiben, ob die Mitteilung vom 15. November 2011 im Sinne von Art. 53 Abs. 2 ATSG zweifellos unrichtig und deren Berichtigung von erheblicher Bedeutung war. Jedenfalls war der Widerruf seitens der E._____ zulässig und die (allfällige) Verfügung vom 15. November 2011 für die Beschwerdegegnerin unverbindlich.</w:t>
      </w:r>
    </w:p>
    <w:p>
      <w:r>
        <w:rPr>
          <w:b/>
        </w:rPr>
        <w:t>E. 8</w:t>
      </w:r>
    </w:p>
    <w:p>
      <w:r>
        <w:t>Zusammenfassend ergibt sich, dass vorliegend nicht mit überwiegender Wahrscheinlichkeit erstellt ist, dass der Beschwerdeführer mindestens acht Stunden pro Woche bei der Beschwerdeführerin gearbeitet hat. Auch aus der bundesgerichtlichen Rechtsprechung sowie der Verwaltungspra- xis der SUVA können die Beschwerdeführer nichts zu ihren Gunsten ab- leiten. Schliesslich lässt sich eine NBU-Deckung seitens der Beschwer- degegnerin auch nicht gestützt auf die Mitteilung der E._____ vom 15. November 2011 konstruieren. Folglich erweist sich der angefochtene Einspracheentscheid vom 13. Mai 2013 als rechtens, was zur Abweisung der Beschwerde führt. Gerichtskosten werden nicht erhoben, da das kan- tonale Beschwerdeverfahren gemäss Art. 61 lit. a ATSG − ausser hier nicht zutreffender Ausnahmen − grundsätzlich kostenlos ist. Eine ausser- gerichtliche Entschädigung steht der obsiegenden Beschwerdegegnerin nicht zu (Umkehrschluss aus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